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61BF" w14:textId="77777777" w:rsidR="00533AC4" w:rsidRDefault="00533AC4" w:rsidP="005F485F"/>
    <w:p w14:paraId="45C42A85" w14:textId="77777777" w:rsidR="005F485F" w:rsidRDefault="005F485F" w:rsidP="005F485F"/>
    <w:p w14:paraId="550F0174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RESOLUÇÃO Nº 001/2026, DE 13 DE ABRIL DE 2026.</w:t>
      </w:r>
    </w:p>
    <w:p w14:paraId="3BB7B275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Dispõe sobre as Diretrizes para a Implementação da Educação das Relações Étnico-Raciais e da Educação Escolar Quilombola no âmbito da Rede Municipal de Ensino de Várzea Paulista.</w:t>
      </w:r>
    </w:p>
    <w:p w14:paraId="3D26F546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1145FAE3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Conforme a </w:t>
      </w:r>
      <w:r w:rsidRPr="005F485F">
        <w:rPr>
          <w:rFonts w:asciiTheme="minorHAnsi" w:hAnsiTheme="minorHAnsi" w:cstheme="minorHAnsi"/>
          <w:b/>
          <w:bCs/>
          <w:lang w:val="pt-BR"/>
        </w:rPr>
        <w:t>Resolução nº 001/2026, de 13 de abril de 2026</w:t>
      </w:r>
      <w:r w:rsidRPr="005F485F">
        <w:rPr>
          <w:rFonts w:asciiTheme="minorHAnsi" w:hAnsiTheme="minorHAnsi" w:cstheme="minorHAnsi"/>
          <w:lang w:val="pt-BR"/>
        </w:rPr>
        <w:t xml:space="preserve">, que dispõe sobre as Diretrizes para a Implementação da Educação das Relações Étnico-Raciais e da Educação Escolar Quilombola no âmbito da Rede Municipal de Ensino de Várzea Paulista, informamos que os </w:t>
      </w:r>
      <w:r w:rsidRPr="005F485F">
        <w:rPr>
          <w:rFonts w:asciiTheme="minorHAnsi" w:hAnsiTheme="minorHAnsi" w:cstheme="minorHAnsi"/>
          <w:b/>
          <w:bCs/>
          <w:lang w:val="pt-BR"/>
        </w:rPr>
        <w:t>Anexos 1 – Diretrizes para a Implementação da Educação das Relações Étnico-Raciais e da Educação Escolar Quilombola</w:t>
      </w:r>
      <w:r w:rsidRPr="005F485F">
        <w:rPr>
          <w:rFonts w:asciiTheme="minorHAnsi" w:hAnsiTheme="minorHAnsi" w:cstheme="minorHAnsi"/>
          <w:lang w:val="pt-BR"/>
        </w:rPr>
        <w:t xml:space="preserve"> e </w:t>
      </w:r>
      <w:r w:rsidRPr="005F485F">
        <w:rPr>
          <w:rFonts w:asciiTheme="minorHAnsi" w:hAnsiTheme="minorHAnsi" w:cstheme="minorHAnsi"/>
          <w:b/>
          <w:bCs/>
          <w:lang w:val="pt-BR"/>
        </w:rPr>
        <w:t>Anexo 2 – Plano de Ação Diversidade Cultural</w:t>
      </w:r>
      <w:r w:rsidRPr="005F485F">
        <w:rPr>
          <w:rFonts w:asciiTheme="minorHAnsi" w:hAnsiTheme="minorHAnsi" w:cstheme="minorHAnsi"/>
          <w:lang w:val="pt-BR"/>
        </w:rPr>
        <w:t xml:space="preserve">, bem como o </w:t>
      </w:r>
      <w:r w:rsidRPr="005F485F">
        <w:rPr>
          <w:rFonts w:asciiTheme="minorHAnsi" w:hAnsiTheme="minorHAnsi" w:cstheme="minorHAnsi"/>
          <w:b/>
          <w:bCs/>
          <w:lang w:val="pt-BR"/>
        </w:rPr>
        <w:t>Parecer aprovado pelo Conselho Municipal de Educação</w:t>
      </w:r>
      <w:r w:rsidRPr="005F485F">
        <w:rPr>
          <w:rFonts w:asciiTheme="minorHAnsi" w:hAnsiTheme="minorHAnsi" w:cstheme="minorHAnsi"/>
          <w:lang w:val="pt-BR"/>
        </w:rPr>
        <w:t xml:space="preserve">, encontram-se disponíveis para consulta no </w:t>
      </w:r>
      <w:r w:rsidRPr="005F485F">
        <w:rPr>
          <w:rFonts w:asciiTheme="minorHAnsi" w:hAnsiTheme="minorHAnsi" w:cstheme="minorHAnsi"/>
          <w:b/>
          <w:bCs/>
          <w:lang w:val="pt-BR"/>
        </w:rPr>
        <w:t>Portal da Transparência</w:t>
      </w:r>
      <w:r w:rsidRPr="005F485F">
        <w:rPr>
          <w:rFonts w:asciiTheme="minorHAnsi" w:hAnsiTheme="minorHAnsi" w:cstheme="minorHAnsi"/>
          <w:lang w:val="pt-BR"/>
        </w:rPr>
        <w:t xml:space="preserve">, no ícone </w:t>
      </w:r>
      <w:r w:rsidRPr="005F485F">
        <w:rPr>
          <w:rFonts w:asciiTheme="minorHAnsi" w:hAnsiTheme="minorHAnsi" w:cstheme="minorHAnsi"/>
          <w:b/>
          <w:bCs/>
          <w:lang w:val="pt-BR"/>
        </w:rPr>
        <w:t>Unidade Gestora Municipal de Educação</w:t>
      </w:r>
      <w:r w:rsidRPr="005F485F">
        <w:rPr>
          <w:rFonts w:asciiTheme="minorHAnsi" w:hAnsiTheme="minorHAnsi" w:cstheme="minorHAnsi"/>
          <w:lang w:val="pt-BR"/>
        </w:rPr>
        <w:t>.</w:t>
      </w:r>
    </w:p>
    <w:p w14:paraId="7B40BD3E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14:paraId="44B69BC6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 GESTORA DE EDUCAÇÃO, MAGALI OLIVEIRA AUGUSTO DE SOUZA, no uso de suas atribuições legais, e</w:t>
      </w:r>
    </w:p>
    <w:p w14:paraId="2C82D572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CONSIDERANDO a necessidade de promover a equidade e a valorização da diversidade cultural na educação,</w:t>
      </w:r>
    </w:p>
    <w:p w14:paraId="561C526C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32433A13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CONSIDERANDO a obrigatoriedade do tratamento da temática das relações étnico-raciais no currículo escolar, conforme estabelecido pela Lei de Diretrizes e Bases da Educação Nacional (Lei nº 9.394/1996) e outras legislações pertinentes,</w:t>
      </w:r>
    </w:p>
    <w:p w14:paraId="5817C590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CONSIDERANDO a importância de integrar as diretrizes educacionais às políticas públicas já existentes,</w:t>
      </w:r>
    </w:p>
    <w:p w14:paraId="23031D46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RESOLVE:</w:t>
      </w:r>
    </w:p>
    <w:p w14:paraId="4986D8DA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1º Ficam estabelecidas as Diretrizes Municipais para a Implementação da Educação das Relações Étnico-Raciais e da Educação Escolar Quilombola, com os seguintes objetivos:</w:t>
      </w:r>
    </w:p>
    <w:p w14:paraId="5539F58A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I. Promover a equidade e a valorização da diversidade cultural, com especial atenção às culturas afro-brasileiras, indígenas e quilombolas;</w:t>
      </w:r>
    </w:p>
    <w:p w14:paraId="2B8DA0E0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II. Organizar práticas pedagógicas de forma estruturada e intencional, garantindo a continuidade e institucionalização das ações;</w:t>
      </w:r>
    </w:p>
    <w:p w14:paraId="736180DF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III. Assegurar que as diretrizes estejam em consonância com as legislações vigentes e com o currículo municipal.</w:t>
      </w:r>
    </w:p>
    <w:p w14:paraId="779E473A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14:paraId="7E99E07F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2º As diretrizes devem ser implementadas de acordo com os seguintes princípios:</w:t>
      </w:r>
    </w:p>
    <w:p w14:paraId="70466125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I. </w:t>
      </w:r>
      <w:r w:rsidRPr="005F485F">
        <w:rPr>
          <w:rFonts w:asciiTheme="minorHAnsi" w:hAnsiTheme="minorHAnsi" w:cstheme="minorHAnsi"/>
          <w:b/>
          <w:bCs/>
          <w:lang w:val="pt-BR"/>
        </w:rPr>
        <w:t>Valorização das Identidades</w:t>
      </w:r>
      <w:r w:rsidRPr="005F485F">
        <w:rPr>
          <w:rFonts w:asciiTheme="minorHAnsi" w:hAnsiTheme="minorHAnsi" w:cstheme="minorHAnsi"/>
          <w:lang w:val="pt-BR"/>
        </w:rPr>
        <w:t>: Reconhecer e valorizar as múltiplas identidades dos estudantes, promovendo um ambiente escolar inclusivo;</w:t>
      </w:r>
    </w:p>
    <w:p w14:paraId="5709AFC4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II. </w:t>
      </w:r>
      <w:r w:rsidRPr="005F485F">
        <w:rPr>
          <w:rFonts w:asciiTheme="minorHAnsi" w:hAnsiTheme="minorHAnsi" w:cstheme="minorHAnsi"/>
          <w:b/>
          <w:bCs/>
          <w:lang w:val="pt-BR"/>
        </w:rPr>
        <w:t>Formação Continuada</w:t>
      </w:r>
      <w:r w:rsidRPr="005F485F">
        <w:rPr>
          <w:rFonts w:asciiTheme="minorHAnsi" w:hAnsiTheme="minorHAnsi" w:cstheme="minorHAnsi"/>
          <w:lang w:val="pt-BR"/>
        </w:rPr>
        <w:t xml:space="preserve">: Garantir a formação contínua de educadores sobre diversidade e práticas </w:t>
      </w:r>
      <w:r w:rsidRPr="005F485F">
        <w:rPr>
          <w:rFonts w:asciiTheme="minorHAnsi" w:hAnsiTheme="minorHAnsi" w:cstheme="minorHAnsi"/>
          <w:lang w:val="pt-BR"/>
        </w:rPr>
        <w:lastRenderedPageBreak/>
        <w:t>antirracistas;</w:t>
      </w:r>
    </w:p>
    <w:p w14:paraId="29A8DEA0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III. </w:t>
      </w:r>
      <w:r w:rsidRPr="005F485F">
        <w:rPr>
          <w:rFonts w:asciiTheme="minorHAnsi" w:hAnsiTheme="minorHAnsi" w:cstheme="minorHAnsi"/>
          <w:b/>
          <w:bCs/>
          <w:lang w:val="pt-BR"/>
        </w:rPr>
        <w:t>Monitoramento e Avaliação</w:t>
      </w:r>
      <w:r w:rsidRPr="005F485F">
        <w:rPr>
          <w:rFonts w:asciiTheme="minorHAnsi" w:hAnsiTheme="minorHAnsi" w:cstheme="minorHAnsi"/>
          <w:lang w:val="pt-BR"/>
        </w:rPr>
        <w:t>: Criar mecanismos de monitoramento e avaliação para acompanhar a eficácia das diretrizes.</w:t>
      </w:r>
    </w:p>
    <w:p w14:paraId="65744344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14:paraId="4E717398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3º A equipe escolar deverá realizar as seguintes ações:</w:t>
      </w:r>
    </w:p>
    <w:p w14:paraId="716C7564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I. </w:t>
      </w:r>
      <w:r w:rsidRPr="005F485F">
        <w:rPr>
          <w:rFonts w:asciiTheme="minorHAnsi" w:hAnsiTheme="minorHAnsi" w:cstheme="minorHAnsi"/>
          <w:b/>
          <w:bCs/>
          <w:lang w:val="pt-BR"/>
        </w:rPr>
        <w:t>Planejamento Pedagógico</w:t>
      </w:r>
      <w:r w:rsidRPr="005F485F">
        <w:rPr>
          <w:rFonts w:asciiTheme="minorHAnsi" w:hAnsiTheme="minorHAnsi" w:cstheme="minorHAnsi"/>
          <w:lang w:val="pt-BR"/>
        </w:rPr>
        <w:t>: Incorporar as diretrizes nos Projetos Político-Pedagógicos das unidades escolares, assegurando que as práticas educativas reflitam os princípios da educação étnico-racial.</w:t>
      </w:r>
    </w:p>
    <w:p w14:paraId="68E08219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II. </w:t>
      </w:r>
      <w:r w:rsidRPr="005F485F">
        <w:rPr>
          <w:rFonts w:asciiTheme="minorHAnsi" w:hAnsiTheme="minorHAnsi" w:cstheme="minorHAnsi"/>
          <w:b/>
          <w:bCs/>
          <w:lang w:val="pt-BR"/>
        </w:rPr>
        <w:t>Formação e Capacitação</w:t>
      </w:r>
      <w:r w:rsidRPr="005F485F">
        <w:rPr>
          <w:rFonts w:asciiTheme="minorHAnsi" w:hAnsiTheme="minorHAnsi" w:cstheme="minorHAnsi"/>
          <w:lang w:val="pt-BR"/>
        </w:rPr>
        <w:t>: Participar de programas de formação continuada sobre diversidade cultural e práticas antirracistas, promovendo um ambiente educativo inclusivo.</w:t>
      </w:r>
    </w:p>
    <w:p w14:paraId="07EBF431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III. </w:t>
      </w:r>
      <w:r w:rsidRPr="005F485F">
        <w:rPr>
          <w:rFonts w:asciiTheme="minorHAnsi" w:hAnsiTheme="minorHAnsi" w:cstheme="minorHAnsi"/>
          <w:b/>
          <w:bCs/>
          <w:lang w:val="pt-BR"/>
        </w:rPr>
        <w:t>Atividades Interculturais</w:t>
      </w:r>
      <w:r w:rsidRPr="005F485F">
        <w:rPr>
          <w:rFonts w:asciiTheme="minorHAnsi" w:hAnsiTheme="minorHAnsi" w:cstheme="minorHAnsi"/>
          <w:lang w:val="pt-BR"/>
        </w:rPr>
        <w:t>: Desenvolver atividades interculturais que celebrem a diversidade, como semanas culturais, palestras e oficinas.</w:t>
      </w:r>
    </w:p>
    <w:p w14:paraId="0203BFFD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IV. </w:t>
      </w:r>
      <w:r w:rsidRPr="005F485F">
        <w:rPr>
          <w:rFonts w:asciiTheme="minorHAnsi" w:hAnsiTheme="minorHAnsi" w:cstheme="minorHAnsi"/>
          <w:b/>
          <w:bCs/>
          <w:lang w:val="pt-BR"/>
        </w:rPr>
        <w:t>Acompanhamento e Avaliação</w:t>
      </w:r>
      <w:r w:rsidRPr="005F485F">
        <w:rPr>
          <w:rFonts w:asciiTheme="minorHAnsi" w:hAnsiTheme="minorHAnsi" w:cstheme="minorHAnsi"/>
          <w:lang w:val="pt-BR"/>
        </w:rPr>
        <w:t>: Promover reuniões periódicas para avaliar a implementação das diretrizes e discutir melhorias nas práticas pedagógicas.</w:t>
      </w:r>
    </w:p>
    <w:p w14:paraId="64E90BA0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V. </w:t>
      </w:r>
      <w:r w:rsidRPr="005F485F">
        <w:rPr>
          <w:rFonts w:asciiTheme="minorHAnsi" w:hAnsiTheme="minorHAnsi" w:cstheme="minorHAnsi"/>
          <w:b/>
          <w:bCs/>
          <w:lang w:val="pt-BR"/>
        </w:rPr>
        <w:t>Envolvimento da Comunidade</w:t>
      </w:r>
      <w:r w:rsidRPr="005F485F">
        <w:rPr>
          <w:rFonts w:asciiTheme="minorHAnsi" w:hAnsiTheme="minorHAnsi" w:cstheme="minorHAnsi"/>
          <w:lang w:val="pt-BR"/>
        </w:rPr>
        <w:t>: Criar espaços de diálogo com a comunidade escolar, envolvendo famílias e organizações locais na promoção das diretrizes.</w:t>
      </w:r>
    </w:p>
    <w:p w14:paraId="5B6FD43D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</w:rPr>
      </w:pPr>
      <w:r w:rsidRPr="005F485F">
        <w:rPr>
          <w:rFonts w:asciiTheme="minorHAnsi" w:hAnsiTheme="minorHAnsi" w:cstheme="minorHAnsi"/>
          <w:lang w:val="pt-BR"/>
        </w:rPr>
        <w:t xml:space="preserve">VI. </w:t>
      </w:r>
      <w:r w:rsidRPr="005F485F">
        <w:rPr>
          <w:rFonts w:asciiTheme="minorHAnsi" w:hAnsiTheme="minorHAnsi" w:cstheme="minorHAnsi"/>
        </w:rPr>
        <w:t>Compra de brinquedos e materiais de acordo com a resolução.</w:t>
      </w:r>
    </w:p>
    <w:p w14:paraId="5B70A400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14:paraId="6C2E1434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4º A equipe da Unidade Gestora de Educação terá as seguintes atribuições:</w:t>
      </w:r>
    </w:p>
    <w:p w14:paraId="3ECA0C3F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I. </w:t>
      </w:r>
      <w:r w:rsidRPr="005F485F">
        <w:rPr>
          <w:rFonts w:asciiTheme="minorHAnsi" w:hAnsiTheme="minorHAnsi" w:cstheme="minorHAnsi"/>
          <w:b/>
          <w:bCs/>
          <w:lang w:val="pt-BR"/>
        </w:rPr>
        <w:t>Coordenação da Implementação</w:t>
      </w:r>
      <w:r w:rsidRPr="005F485F">
        <w:rPr>
          <w:rFonts w:asciiTheme="minorHAnsi" w:hAnsiTheme="minorHAnsi" w:cstheme="minorHAnsi"/>
          <w:lang w:val="pt-BR"/>
        </w:rPr>
        <w:t>: Coordenar a implementação das diretrizes nas unidades escolares, garantindo alinhamento com as políticas educacionais.</w:t>
      </w:r>
    </w:p>
    <w:p w14:paraId="6844A261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II. </w:t>
      </w:r>
      <w:r w:rsidRPr="005F485F">
        <w:rPr>
          <w:rFonts w:asciiTheme="minorHAnsi" w:hAnsiTheme="minorHAnsi" w:cstheme="minorHAnsi"/>
          <w:b/>
          <w:bCs/>
          <w:lang w:val="pt-BR"/>
        </w:rPr>
        <w:t>Apoio Técnico</w:t>
      </w:r>
      <w:r w:rsidRPr="005F485F">
        <w:rPr>
          <w:rFonts w:asciiTheme="minorHAnsi" w:hAnsiTheme="minorHAnsi" w:cstheme="minorHAnsi"/>
          <w:lang w:val="pt-BR"/>
        </w:rPr>
        <w:t>: Oferecer apoio técnico e formação para os educadores, promovendo capacitação sobre as diretrizes e práticas pedagógicas inclusivas.</w:t>
      </w:r>
    </w:p>
    <w:p w14:paraId="2C1646BF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III. </w:t>
      </w:r>
      <w:r w:rsidRPr="005F485F">
        <w:rPr>
          <w:rFonts w:asciiTheme="minorHAnsi" w:hAnsiTheme="minorHAnsi" w:cstheme="minorHAnsi"/>
          <w:b/>
          <w:bCs/>
          <w:lang w:val="pt-BR"/>
        </w:rPr>
        <w:t>Monitoramento e Avaliação</w:t>
      </w:r>
      <w:r w:rsidRPr="005F485F">
        <w:rPr>
          <w:rFonts w:asciiTheme="minorHAnsi" w:hAnsiTheme="minorHAnsi" w:cstheme="minorHAnsi"/>
          <w:lang w:val="pt-BR"/>
        </w:rPr>
        <w:t>: Realizar o monitoramento da aplicação das diretrizes e elaborar relatórios sobre o progresso e os desafios enfrentados.</w:t>
      </w:r>
    </w:p>
    <w:p w14:paraId="6DA4C941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IV. </w:t>
      </w:r>
      <w:r w:rsidRPr="005F485F">
        <w:rPr>
          <w:rFonts w:asciiTheme="minorHAnsi" w:hAnsiTheme="minorHAnsi" w:cstheme="minorHAnsi"/>
          <w:b/>
          <w:bCs/>
          <w:lang w:val="pt-BR"/>
        </w:rPr>
        <w:t>Articulação Intersetorial</w:t>
      </w:r>
      <w:r w:rsidRPr="005F485F">
        <w:rPr>
          <w:rFonts w:asciiTheme="minorHAnsi" w:hAnsiTheme="minorHAnsi" w:cstheme="minorHAnsi"/>
          <w:lang w:val="pt-BR"/>
        </w:rPr>
        <w:t>: Promover articulação com outras secretarias e órgãos públicos para garantir a efetividade das ações relacionadas às diretrizes.</w:t>
      </w:r>
    </w:p>
    <w:p w14:paraId="65C9A178" w14:textId="77777777" w:rsid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 xml:space="preserve">V. </w:t>
      </w:r>
      <w:r w:rsidRPr="005F485F">
        <w:rPr>
          <w:rFonts w:asciiTheme="minorHAnsi" w:hAnsiTheme="minorHAnsi" w:cstheme="minorHAnsi"/>
          <w:b/>
          <w:bCs/>
          <w:lang w:val="pt-BR"/>
        </w:rPr>
        <w:t>Promoção de Eventos</w:t>
      </w:r>
      <w:r w:rsidRPr="005F485F">
        <w:rPr>
          <w:rFonts w:asciiTheme="minorHAnsi" w:hAnsiTheme="minorHAnsi" w:cstheme="minorHAnsi"/>
          <w:lang w:val="pt-BR"/>
        </w:rPr>
        <w:t>: Organizar eventos e campanhas que sensibilizem a comunidade escolar sobre a importância da educação das relações étnico-raciais.</w:t>
      </w:r>
    </w:p>
    <w:p w14:paraId="28253C2F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</w:p>
    <w:p w14:paraId="0344774D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5º A implementação das diretrizes deve ocorrer de forma integrada às políticas educacionais já instituídas, incluindo:</w:t>
      </w:r>
    </w:p>
    <w:p w14:paraId="74A17E5D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I. Política Municipal de Alfabetização;</w:t>
      </w:r>
    </w:p>
    <w:p w14:paraId="7279BB3B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II. Programa de Leitura e Escrita;</w:t>
      </w:r>
    </w:p>
    <w:p w14:paraId="4310CA88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t>III. Programa de Intervenção e Avaliação Pedagógica (PIAP);</w:t>
      </w:r>
    </w:p>
    <w:p w14:paraId="7636A63C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lang w:val="pt-BR"/>
        </w:rPr>
        <w:lastRenderedPageBreak/>
        <w:t>IV. Programa de Prevenção e Combate ao Bullying.</w:t>
      </w:r>
    </w:p>
    <w:p w14:paraId="29943C0B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Art. 6º Esta resolução entra em vigor na data de sua publicação, revogadas as disposições em contrário.</w:t>
      </w:r>
    </w:p>
    <w:p w14:paraId="36D0295E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 xml:space="preserve">Várzea Paulista, 11 de maio de 2026 </w:t>
      </w:r>
    </w:p>
    <w:p w14:paraId="6ACFDDE7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4380D031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3FBFC995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3BA5348B" w14:textId="77777777" w:rsidR="005F485F" w:rsidRPr="005F485F" w:rsidRDefault="005F485F" w:rsidP="005F485F">
      <w:pPr>
        <w:spacing w:line="360" w:lineRule="auto"/>
        <w:jc w:val="both"/>
        <w:rPr>
          <w:rFonts w:asciiTheme="minorHAnsi" w:hAnsiTheme="minorHAnsi" w:cstheme="minorHAnsi"/>
          <w:b/>
          <w:bCs/>
          <w:lang w:val="pt-BR"/>
        </w:rPr>
      </w:pPr>
    </w:p>
    <w:p w14:paraId="4BDD830D" w14:textId="77777777" w:rsidR="005F485F" w:rsidRPr="005F485F" w:rsidRDefault="005F485F" w:rsidP="005F485F">
      <w:pPr>
        <w:spacing w:line="360" w:lineRule="auto"/>
        <w:jc w:val="center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MAGALI OLIVEIRA AUGUSTO DE SOUZA</w:t>
      </w:r>
    </w:p>
    <w:p w14:paraId="0BF9594D" w14:textId="77777777" w:rsidR="005F485F" w:rsidRPr="005F485F" w:rsidRDefault="005F485F" w:rsidP="005F485F">
      <w:pPr>
        <w:spacing w:line="360" w:lineRule="auto"/>
        <w:jc w:val="center"/>
        <w:rPr>
          <w:rFonts w:asciiTheme="minorHAnsi" w:hAnsiTheme="minorHAnsi" w:cstheme="minorHAnsi"/>
          <w:lang w:val="pt-BR"/>
        </w:rPr>
      </w:pPr>
      <w:r w:rsidRPr="005F485F">
        <w:rPr>
          <w:rFonts w:asciiTheme="minorHAnsi" w:hAnsiTheme="minorHAnsi" w:cstheme="minorHAnsi"/>
          <w:b/>
          <w:bCs/>
          <w:lang w:val="pt-BR"/>
        </w:rPr>
        <w:t>Gestora Municipal de Educação</w:t>
      </w:r>
    </w:p>
    <w:p w14:paraId="44CF0566" w14:textId="77777777" w:rsidR="005F485F" w:rsidRPr="005F485F" w:rsidRDefault="005F485F" w:rsidP="005F485F">
      <w:pPr>
        <w:spacing w:line="360" w:lineRule="auto"/>
        <w:jc w:val="center"/>
        <w:rPr>
          <w:rFonts w:asciiTheme="minorHAnsi" w:hAnsiTheme="minorHAnsi" w:cstheme="minorHAnsi"/>
        </w:rPr>
      </w:pPr>
    </w:p>
    <w:sectPr w:rsidR="005F485F" w:rsidRPr="005F485F" w:rsidSect="00533AC4">
      <w:headerReference w:type="default" r:id="rId7"/>
      <w:pgSz w:w="11906" w:h="16838"/>
      <w:pgMar w:top="1440" w:right="1133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605B0" w14:textId="77777777" w:rsidR="00C2671E" w:rsidRDefault="00C2671E" w:rsidP="00767C69">
      <w:r>
        <w:separator/>
      </w:r>
    </w:p>
  </w:endnote>
  <w:endnote w:type="continuationSeparator" w:id="0">
    <w:p w14:paraId="27E0536B" w14:textId="77777777" w:rsidR="00C2671E" w:rsidRDefault="00C2671E" w:rsidP="00767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A19C5" w14:textId="77777777" w:rsidR="00C2671E" w:rsidRDefault="00C2671E" w:rsidP="00767C69">
      <w:r>
        <w:separator/>
      </w:r>
    </w:p>
  </w:footnote>
  <w:footnote w:type="continuationSeparator" w:id="0">
    <w:p w14:paraId="2E7708DE" w14:textId="77777777" w:rsidR="00C2671E" w:rsidRDefault="00C2671E" w:rsidP="00767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A19D8" w14:textId="68EC71F3" w:rsidR="00767C69" w:rsidRPr="00767C69" w:rsidRDefault="00767C69" w:rsidP="00767C69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1DC7502" wp14:editId="096ABF81">
          <wp:simplePos x="0" y="0"/>
          <wp:positionH relativeFrom="column">
            <wp:posOffset>1510665</wp:posOffset>
          </wp:positionH>
          <wp:positionV relativeFrom="paragraph">
            <wp:posOffset>-344805</wp:posOffset>
          </wp:positionV>
          <wp:extent cx="2028825" cy="774065"/>
          <wp:effectExtent l="0" t="0" r="9525" b="6985"/>
          <wp:wrapTight wrapText="bothSides">
            <wp:wrapPolygon edited="0">
              <wp:start x="0" y="0"/>
              <wp:lineTo x="0" y="21263"/>
              <wp:lineTo x="21499" y="21263"/>
              <wp:lineTo x="21499" y="0"/>
              <wp:lineTo x="0" y="0"/>
            </wp:wrapPolygon>
          </wp:wrapTight>
          <wp:docPr id="120785076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1305590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9552F"/>
    <w:multiLevelType w:val="multilevel"/>
    <w:tmpl w:val="62FA6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D6C17"/>
    <w:multiLevelType w:val="multilevel"/>
    <w:tmpl w:val="F10A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E34B58"/>
    <w:multiLevelType w:val="multilevel"/>
    <w:tmpl w:val="852EC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9B278A4"/>
    <w:multiLevelType w:val="multilevel"/>
    <w:tmpl w:val="FCD4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3A2B84"/>
    <w:multiLevelType w:val="multilevel"/>
    <w:tmpl w:val="67F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AE2310"/>
    <w:multiLevelType w:val="multilevel"/>
    <w:tmpl w:val="D14A7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D65C72"/>
    <w:multiLevelType w:val="multilevel"/>
    <w:tmpl w:val="AEF8E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F426BE"/>
    <w:multiLevelType w:val="multilevel"/>
    <w:tmpl w:val="E7184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E0819"/>
    <w:multiLevelType w:val="multilevel"/>
    <w:tmpl w:val="923ED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567C88"/>
    <w:multiLevelType w:val="multilevel"/>
    <w:tmpl w:val="850EC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D83B5F"/>
    <w:multiLevelType w:val="multilevel"/>
    <w:tmpl w:val="C58AD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C0E26"/>
    <w:multiLevelType w:val="multilevel"/>
    <w:tmpl w:val="F7F4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1046D4"/>
    <w:multiLevelType w:val="multilevel"/>
    <w:tmpl w:val="ED80E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DD3B4C"/>
    <w:multiLevelType w:val="hybridMultilevel"/>
    <w:tmpl w:val="E4286D2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322161"/>
    <w:multiLevelType w:val="multilevel"/>
    <w:tmpl w:val="9364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9263730">
    <w:abstractNumId w:val="3"/>
  </w:num>
  <w:num w:numId="2" w16cid:durableId="2086340186">
    <w:abstractNumId w:val="14"/>
  </w:num>
  <w:num w:numId="3" w16cid:durableId="538593195">
    <w:abstractNumId w:val="10"/>
  </w:num>
  <w:num w:numId="4" w16cid:durableId="1830244875">
    <w:abstractNumId w:val="1"/>
  </w:num>
  <w:num w:numId="5" w16cid:durableId="1942183718">
    <w:abstractNumId w:val="8"/>
  </w:num>
  <w:num w:numId="6" w16cid:durableId="859008074">
    <w:abstractNumId w:val="0"/>
  </w:num>
  <w:num w:numId="7" w16cid:durableId="928998481">
    <w:abstractNumId w:val="4"/>
  </w:num>
  <w:num w:numId="8" w16cid:durableId="624195882">
    <w:abstractNumId w:val="9"/>
  </w:num>
  <w:num w:numId="9" w16cid:durableId="467287138">
    <w:abstractNumId w:val="2"/>
  </w:num>
  <w:num w:numId="10" w16cid:durableId="608901795">
    <w:abstractNumId w:val="6"/>
  </w:num>
  <w:num w:numId="11" w16cid:durableId="405953293">
    <w:abstractNumId w:val="11"/>
  </w:num>
  <w:num w:numId="12" w16cid:durableId="116148059">
    <w:abstractNumId w:val="7"/>
  </w:num>
  <w:num w:numId="13" w16cid:durableId="855002249">
    <w:abstractNumId w:val="5"/>
  </w:num>
  <w:num w:numId="14" w16cid:durableId="976489749">
    <w:abstractNumId w:val="12"/>
  </w:num>
  <w:num w:numId="15" w16cid:durableId="10175365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69"/>
    <w:rsid w:val="001F3A96"/>
    <w:rsid w:val="0041036D"/>
    <w:rsid w:val="004775F9"/>
    <w:rsid w:val="004E0305"/>
    <w:rsid w:val="005177C1"/>
    <w:rsid w:val="00533AC4"/>
    <w:rsid w:val="005D3A98"/>
    <w:rsid w:val="005D51BC"/>
    <w:rsid w:val="005F485F"/>
    <w:rsid w:val="006509C1"/>
    <w:rsid w:val="0065142D"/>
    <w:rsid w:val="006E7A67"/>
    <w:rsid w:val="0070503C"/>
    <w:rsid w:val="00767C69"/>
    <w:rsid w:val="00875310"/>
    <w:rsid w:val="008D1713"/>
    <w:rsid w:val="009729D6"/>
    <w:rsid w:val="00A5506F"/>
    <w:rsid w:val="00AC4FF4"/>
    <w:rsid w:val="00B412BD"/>
    <w:rsid w:val="00B56AB6"/>
    <w:rsid w:val="00BC6DC2"/>
    <w:rsid w:val="00C2671E"/>
    <w:rsid w:val="00C3070B"/>
    <w:rsid w:val="00C4377D"/>
    <w:rsid w:val="00C6798F"/>
    <w:rsid w:val="00E04F21"/>
    <w:rsid w:val="00F15233"/>
    <w:rsid w:val="00F81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4AD7C"/>
  <w15:chartTrackingRefBased/>
  <w15:docId w15:val="{1CCF1D7F-C527-4F38-A67F-B502396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7C6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67C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67C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7C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67C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67C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67C6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67C6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67C6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67C6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67C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67C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7C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67C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67C69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67C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67C6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67C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67C6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67C6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67C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67C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67C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67C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67C6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67C6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67C6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67C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67C69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67C69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67C6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67C69"/>
  </w:style>
  <w:style w:type="paragraph" w:styleId="Rodap">
    <w:name w:val="footer"/>
    <w:basedOn w:val="Normal"/>
    <w:link w:val="RodapChar"/>
    <w:uiPriority w:val="99"/>
    <w:unhideWhenUsed/>
    <w:rsid w:val="00767C6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67C69"/>
  </w:style>
  <w:style w:type="paragraph" w:styleId="Corpodetexto">
    <w:name w:val="Body Text"/>
    <w:basedOn w:val="Normal"/>
    <w:link w:val="CorpodetextoChar"/>
    <w:uiPriority w:val="1"/>
    <w:qFormat/>
    <w:rsid w:val="00767C6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767C69"/>
    <w:rPr>
      <w:rFonts w:ascii="Arial MT" w:eastAsia="Arial MT" w:hAnsi="Arial MT" w:cs="Arial MT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C3070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307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735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carlacsr707@gmail.com</dc:creator>
  <cp:keywords/>
  <dc:description/>
  <cp:lastModifiedBy>Glauce Rocco Parazzi</cp:lastModifiedBy>
  <cp:revision>2</cp:revision>
  <cp:lastPrinted>2026-07-30T17:33:00Z</cp:lastPrinted>
  <dcterms:created xsi:type="dcterms:W3CDTF">2026-08-03T13:49:00Z</dcterms:created>
  <dcterms:modified xsi:type="dcterms:W3CDTF">2026-08-03T13:49:00Z</dcterms:modified>
</cp:coreProperties>
</file>